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D8" w:rsidRDefault="0073380F" w:rsidP="00687CD8">
      <w:pPr>
        <w:spacing w:after="0" w:line="240" w:lineRule="auto"/>
        <w:ind w:left="4536"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Утвержден</w:t>
      </w:r>
    </w:p>
    <w:p w:rsidR="0073380F" w:rsidRDefault="0073380F" w:rsidP="00687CD8">
      <w:pPr>
        <w:spacing w:after="0" w:line="240" w:lineRule="auto"/>
        <w:ind w:left="4536"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   </w:t>
      </w:r>
    </w:p>
    <w:p w:rsidR="0073380F" w:rsidRDefault="0073380F" w:rsidP="0073380F">
      <w:pPr>
        <w:spacing w:after="0" w:line="240" w:lineRule="auto"/>
        <w:ind w:left="4536" w:right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Ревизионной комиссии    </w:t>
      </w:r>
    </w:p>
    <w:p w:rsidR="0073380F" w:rsidRDefault="0073380F" w:rsidP="0073380F">
      <w:pPr>
        <w:spacing w:after="0" w:line="240" w:lineRule="auto"/>
        <w:ind w:left="4536" w:right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Дмитриевского района</w:t>
      </w:r>
    </w:p>
    <w:p w:rsidR="0073380F" w:rsidRDefault="0073380F" w:rsidP="0073380F">
      <w:pPr>
        <w:spacing w:after="0" w:line="240" w:lineRule="auto"/>
        <w:ind w:left="4536"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Курской области</w:t>
      </w:r>
    </w:p>
    <w:p w:rsidR="0073380F" w:rsidRDefault="0073380F" w:rsidP="0073380F">
      <w:pPr>
        <w:spacing w:after="0" w:line="240" w:lineRule="auto"/>
        <w:ind w:left="4536"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от «23»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декабря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№13</w:t>
      </w:r>
    </w:p>
    <w:p w:rsidR="0073380F" w:rsidRDefault="00113C95" w:rsidP="0073380F">
      <w:pPr>
        <w:spacing w:after="0" w:line="240" w:lineRule="auto"/>
        <w:ind w:left="4962"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kern w:val="32"/>
          <w:lang w:eastAsia="ru-RU"/>
        </w:rPr>
        <w:t xml:space="preserve">   </w:t>
      </w:r>
      <w:r w:rsidRPr="00A00420">
        <w:rPr>
          <w:rFonts w:ascii="Times New Roman" w:eastAsia="Times New Roman" w:hAnsi="Times New Roman"/>
          <w:bCs/>
          <w:i/>
          <w:kern w:val="32"/>
          <w:lang w:eastAsia="ru-RU"/>
        </w:rPr>
        <w:t xml:space="preserve">(с изменениями от </w:t>
      </w:r>
      <w:r>
        <w:rPr>
          <w:rFonts w:ascii="Times New Roman" w:eastAsia="Times New Roman" w:hAnsi="Times New Roman"/>
          <w:bCs/>
          <w:i/>
          <w:kern w:val="32"/>
          <w:lang w:eastAsia="ru-RU"/>
        </w:rPr>
        <w:t xml:space="preserve">    05.05.2023</w:t>
      </w:r>
      <w:r w:rsidRPr="00A00420">
        <w:rPr>
          <w:rFonts w:ascii="Times New Roman" w:eastAsia="Times New Roman" w:hAnsi="Times New Roman"/>
          <w:bCs/>
          <w:i/>
          <w:kern w:val="32"/>
          <w:lang w:eastAsia="ru-RU"/>
        </w:rPr>
        <w:t>г. №</w:t>
      </w:r>
      <w:r>
        <w:rPr>
          <w:rFonts w:ascii="Times New Roman" w:eastAsia="Times New Roman" w:hAnsi="Times New Roman"/>
          <w:bCs/>
          <w:i/>
          <w:kern w:val="32"/>
          <w:lang w:eastAsia="ru-RU"/>
        </w:rPr>
        <w:t>3</w:t>
      </w:r>
      <w:r w:rsidR="00687CD8">
        <w:rPr>
          <w:rFonts w:ascii="Times New Roman" w:eastAsia="Times New Roman" w:hAnsi="Times New Roman"/>
          <w:bCs/>
          <w:i/>
          <w:kern w:val="32"/>
          <w:lang w:eastAsia="ru-RU"/>
        </w:rPr>
        <w:t>, от 24.05.2023г.№4</w:t>
      </w:r>
      <w:r w:rsidR="00B927E7">
        <w:rPr>
          <w:rFonts w:ascii="Times New Roman" w:eastAsia="Times New Roman" w:hAnsi="Times New Roman"/>
          <w:bCs/>
          <w:i/>
          <w:kern w:val="32"/>
          <w:lang w:eastAsia="ru-RU"/>
        </w:rPr>
        <w:t>, от 07.12.2023г.№16</w:t>
      </w:r>
      <w:r>
        <w:rPr>
          <w:rFonts w:ascii="Times New Roman" w:eastAsia="Times New Roman" w:hAnsi="Times New Roman"/>
          <w:bCs/>
          <w:i/>
          <w:kern w:val="32"/>
          <w:lang w:eastAsia="ru-RU"/>
        </w:rPr>
        <w:t xml:space="preserve">)    </w:t>
      </w:r>
    </w:p>
    <w:p w:rsidR="0073380F" w:rsidRDefault="0073380F" w:rsidP="0073380F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План </w:t>
      </w:r>
    </w:p>
    <w:p w:rsidR="0073380F" w:rsidRPr="00687CD8" w:rsidRDefault="0073380F" w:rsidP="00687CD8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деятельности Ревизионной комиссии Дмитриевского района Курской области на 2023 год</w:t>
      </w:r>
    </w:p>
    <w:tbl>
      <w:tblPr>
        <w:tblW w:w="10305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573"/>
        <w:gridCol w:w="2165"/>
      </w:tblGrid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10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Контрольные мероприятия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Аудит эффективности использования средств бюджета муниципального района «Дмитриевский район»,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направлен-ных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формирование и выполнение муниципального  задания  Муниципальному бюджетному учреждению дополнительного образования «Центр детского творчества» Дмитриевского района Курской области за период 2021 - 2022 годов.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полугодие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Pr="00687CD8" w:rsidRDefault="00687CD8">
            <w:pPr>
              <w:pStyle w:val="rtecenter"/>
              <w:spacing w:line="276" w:lineRule="auto"/>
              <w:jc w:val="both"/>
              <w:rPr>
                <w:sz w:val="28"/>
                <w:szCs w:val="28"/>
              </w:rPr>
            </w:pPr>
            <w:r w:rsidRPr="00687CD8">
              <w:rPr>
                <w:sz w:val="28"/>
                <w:szCs w:val="28"/>
              </w:rPr>
              <w:t>исключен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pStyle w:val="rtecenter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законности и эффективности учета и распоряжения земельными участками администрацией  Дмитриевского района  Курской области и поступления доходов в местный бюджет от их использования за период 2021 и 2022 годов (совместно с Контрольно-счетной палатой Курской области).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="00113C9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полугодие</w:t>
            </w:r>
          </w:p>
        </w:tc>
      </w:tr>
      <w:tr w:rsidR="0073380F" w:rsidTr="00687CD8">
        <w:trPr>
          <w:trHeight w:val="14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уровня заработной платы работников муниципальных общеобразовательных организаций Дмитриевского района в 2022 году  (совместно с Контрольно-счетной палатой Курской области).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Pr="00687CD8" w:rsidRDefault="00113C95" w:rsidP="00687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I 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полугодие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целевого использования средств муниципального   района «Дмитриевский район» по распоряжению председателя Представительного Собрания и главы Дмитриевского района.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87CD8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D8" w:rsidRDefault="00687CD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CD8" w:rsidRDefault="00687CD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D8" w:rsidRDefault="00687CD8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F52">
              <w:rPr>
                <w:rFonts w:ascii="Times New Roman" w:hAnsi="Times New Roman"/>
                <w:sz w:val="28"/>
                <w:szCs w:val="28"/>
              </w:rPr>
              <w:t>Проверка использования средств, выделенных на приобретение  горюче-смазочных материалов  для обеспечения подвоза обучающихся муниципальных образовательных организаций  к месту обучения и обратно  в 2023 году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D8" w:rsidRDefault="00687CD8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полугодие</w:t>
            </w:r>
          </w:p>
        </w:tc>
      </w:tr>
      <w:tr w:rsidR="00B927E7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E7" w:rsidRDefault="00B927E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927E7" w:rsidRDefault="00B927E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E7" w:rsidRPr="00C50F52" w:rsidRDefault="00B927E7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E7" w:rsidRDefault="00B927E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73380F" w:rsidTr="00687CD8">
        <w:trPr>
          <w:trHeight w:val="20"/>
          <w:jc w:val="center"/>
        </w:trPr>
        <w:tc>
          <w:tcPr>
            <w:tcW w:w="10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Экспертно-аналитические мероприятия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Внешняя проверка  бюджетной отчетности главных распорядителей бюджетных средств за 2022 год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года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представление в Представительное Собрание Дмитриевского района Курской области Администрацию Дмитриевского района  заключения на годовой отчет «Об исполнении бюджета муниципального района «Дмитриевский район» Курской области за 2022 год.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года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представление в Собрания депутатов муниципальных образований Дмитриевского района Курской области  и Администрации муниципальных образований заключений на годовые отчеты «Об исполнении бюджета муниципальных образований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Дерюгинский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«Город Дмитриев»,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Крупецкой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Новопершинский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«Первоавгустовский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Поповкинский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Старогородский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 Дмитриевского района Курской области за 2022 год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года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Экспертиза муниципальных программ муниципального района «Дмитриевский район» и муниципальных образований Дмитриевского района Курской области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Финансово-экономическая экспертиза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проектов решений Представительного Собрания Дмитриевского района Курской области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Собраний депутатов муниципальных образований Дмитриевского района   (включая обоснованность финансово-экономических обоснований) в части, касающейся расходных обязательств муниципального района «Дмитриевский район» и сельских поселений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представление в Представительное Собрание Дмитриевского района Курской области и Администрацию Дмитриевского района оперативного отчета о ходе исполнения бюджета муниципального района «Дмитриевский район» Курской области  по установленной форме за                      1 квартал, 1 полугодие, 9 месяцев 2023 года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73380F" w:rsidTr="00687CD8">
        <w:trPr>
          <w:trHeight w:val="35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F" w:rsidRDefault="0073380F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F" w:rsidRDefault="007338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3380F" w:rsidRDefault="0073380F" w:rsidP="00687C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Подготовка и представление в Собрания депутатов муниципальных образований Дмитриевского района Курской области  и Администрации муниципальных образований оперативных отчетов о ходе исполнения бюджетов муниципальных образований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Дерюгинский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«Город Дмитриев»,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Крупецкой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Новопершинский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«Первоавгустовский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Поповкинский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Старогородский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 Дмитриевского района Курской области по установленной форме за                         1 квартал, 1 полугодие, 9 месяцев     2023 года</w:t>
            </w:r>
            <w:proofErr w:type="gram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73380F" w:rsidTr="00687CD8">
        <w:trPr>
          <w:trHeight w:val="21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выполнения мероприятий по организации бесплатного горячего питания обучающихся по образовательным программам начального общего образования в муниципальных образовательных организациях Дмитриевского района (параллельно с Контрольно-счетной палатой Курской области).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полугодие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представление в Представительное Собрание Дмитриевского района Курской области заключения на проект решения Представительного Собрания Дмитриевского района Курской области «О бюджете муниципального района «Дмитриевский район» Курской области на 2024 год и на плановый период 2025 и 2026 годов»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года</w:t>
            </w:r>
          </w:p>
        </w:tc>
      </w:tr>
      <w:tr w:rsidR="0073380F" w:rsidTr="00687CD8">
        <w:trPr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экспертиз и подготовка заключений на проекты бюджетов муниципальных образований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Дерюгинский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«Город Дмитриев»,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Крупецкой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Новопершинский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«Первоавгустовский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Поповкинский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Старогородский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 Дмитриевского района Курской области на 2023 год и на плановый период 2024 и 2025 годов.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  <w:p w:rsidR="0073380F" w:rsidRDefault="00733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года</w:t>
            </w:r>
          </w:p>
        </w:tc>
      </w:tr>
      <w:tr w:rsidR="0073380F" w:rsidTr="00687CD8">
        <w:trPr>
          <w:trHeight w:val="1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экспертизы и подготовка заключений на проекты решений Представительного Собрания Дмитриевского района Курской области «О внесении изменений в Решение Представительного Собрания Дмитриевского района Курской области «О бюджете муниципального района «Дмитриевский район  на 2023 год и на плановый период 2024-2025 годов».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10 дней со дня поступления</w:t>
            </w:r>
          </w:p>
        </w:tc>
      </w:tr>
      <w:tr w:rsidR="0073380F" w:rsidTr="00687CD8">
        <w:trPr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экспертизы и подготовка заключений на проекты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решений Собраний депутатов муниципальных образований Дмитриевского района Курской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области «О внесении изменений в Решения Собраний депутатов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муниципальных образований  Дмитриевского района Курской области «О бюджете муниципальных образований Дмитриевского района Курской области   на 2023 год и на плановый период 2024-2025 годов».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течение 10 дней со дня поступления</w:t>
            </w:r>
          </w:p>
        </w:tc>
      </w:tr>
      <w:tr w:rsidR="0073380F" w:rsidTr="00687CD8">
        <w:trPr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B927E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исключен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927E7" w:rsidRDefault="00B92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380F" w:rsidTr="00687CD8">
        <w:trPr>
          <w:trHeight w:val="20"/>
          <w:jc w:val="center"/>
        </w:trPr>
        <w:tc>
          <w:tcPr>
            <w:tcW w:w="10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127" w:right="22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Организационные и иные мероприятия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36" w:right="22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Подготовка и представление в Представительное Собрание Дмитриевского района Курской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ежегодного отчета о работе Ревизионной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комиссии Дмитриевского района Курской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за 2022 год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квартал </w:t>
            </w:r>
          </w:p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2023 года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36" w:right="22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Обеспечение доступа к информации о деятельности Ревизионной комиссии Дмитриевского района Курской области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36" w:right="22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Контроль и анализ исполнения предписаний и представлений Ревизионной комиссии Дмитриевского района Курской области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36" w:right="221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Оказание методологической помощи муниципальным учреждениям и муниципальным образованиям Дмитриевского района Курской области по применению норм бюджетного законодательства, организации и ведении бухгалтерского учета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36" w:right="22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плана работы Ревизионной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комиссии Дмитриевского района Курской области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2024 год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декабрь</w:t>
            </w:r>
          </w:p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2023 года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органами внешнего, внутреннего государственного и муниципального финансового контроля, с правоохранительными и другими контролирующими органами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стандартов финансового муниципального контроля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 w:right="-6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73380F" w:rsidRDefault="0073380F" w:rsidP="007338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3380F" w:rsidRDefault="0073380F" w:rsidP="007338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80F" w:rsidRDefault="0073380F" w:rsidP="007338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AB0" w:rsidRDefault="002B0AB0"/>
    <w:sectPr w:rsidR="002B0AB0" w:rsidSect="00687CD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380F"/>
    <w:rsid w:val="00113C95"/>
    <w:rsid w:val="002B0AB0"/>
    <w:rsid w:val="0036601E"/>
    <w:rsid w:val="004138ED"/>
    <w:rsid w:val="00687CD8"/>
    <w:rsid w:val="0073380F"/>
    <w:rsid w:val="00B927E7"/>
    <w:rsid w:val="00CF4A8E"/>
    <w:rsid w:val="00D370C6"/>
    <w:rsid w:val="00EB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380F"/>
    <w:rPr>
      <w:color w:val="0000FF"/>
      <w:u w:val="single"/>
    </w:rPr>
  </w:style>
  <w:style w:type="paragraph" w:customStyle="1" w:styleId="ConsPlusNonformat">
    <w:name w:val="ConsPlusNonformat"/>
    <w:rsid w:val="007338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center">
    <w:name w:val="rtecenter"/>
    <w:basedOn w:val="a"/>
    <w:rsid w:val="007338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887E5-BA68-4C60-AB31-5339D0D4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2023-12-08T07:13:00Z</cp:lastPrinted>
  <dcterms:created xsi:type="dcterms:W3CDTF">2023-12-08T07:16:00Z</dcterms:created>
  <dcterms:modified xsi:type="dcterms:W3CDTF">2023-12-08T07:16:00Z</dcterms:modified>
</cp:coreProperties>
</file>